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b w:val="1"/>
          <w:rtl w:val="0"/>
        </w:rPr>
        <w:t xml:space="preserve">2025 </w:t>
      </w:r>
      <w:r w:rsidDel="00000000" w:rsidR="00000000" w:rsidRPr="00000000">
        <w:rPr>
          <w:b w:val="1"/>
          <w:vertAlign w:val="baseline"/>
          <w:rtl w:val="0"/>
        </w:rPr>
        <w:t xml:space="preserve">Annual Dues </w:t>
      </w: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b w:val="1"/>
          <w:vertAlign w:val="baseline"/>
          <w:rtl w:val="0"/>
        </w:rPr>
        <w:t xml:space="preserve">ayment and </w:t>
      </w:r>
      <w:r w:rsidDel="00000000" w:rsidR="00000000" w:rsidRPr="00000000">
        <w:rPr>
          <w:b w:val="1"/>
          <w:rtl w:val="0"/>
        </w:rPr>
        <w:t xml:space="preserve">R</w:t>
      </w:r>
      <w:r w:rsidDel="00000000" w:rsidR="00000000" w:rsidRPr="00000000">
        <w:rPr>
          <w:b w:val="1"/>
          <w:vertAlign w:val="baseline"/>
          <w:rtl w:val="0"/>
        </w:rPr>
        <w:t xml:space="preserve">esponsibilities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below explanation is provided to avoid confusion or misunderstanding as to how the annual dues billing process works. MSHOA annual dues for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vertAlign w:val="baseline"/>
          <w:rtl w:val="0"/>
        </w:rPr>
        <w:t xml:space="preserve"> are $1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00.00. Homeowners have the option of paying all at once or quarterly. </w:t>
      </w:r>
    </w:p>
    <w:p w:rsidR="00000000" w:rsidDel="00000000" w:rsidP="00000000" w:rsidRDefault="00000000" w:rsidRPr="00000000" w14:paraId="00000004">
      <w:pPr>
        <w:widowControl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36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 following points are made for clarity and are the homeowners’ responsibility: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General Assessment is billed annually. 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rtl w:val="0"/>
        </w:rPr>
        <w:t xml:space="preserve">Each homeowner has the ability to pay in-whole or quarterly.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vertAlign w:val="baseline"/>
          <w:rtl w:val="0"/>
        </w:rPr>
        <w:t xml:space="preserve">If paying the full $1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00 at one time, then this amount is due January 1st.</w:t>
      </w:r>
    </w:p>
    <w:p w:rsidR="00000000" w:rsidDel="00000000" w:rsidP="00000000" w:rsidRDefault="00000000" w:rsidRPr="00000000" w14:paraId="00000009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Late fees will begin incurring </w:t>
      </w:r>
      <w:r w:rsidDel="00000000" w:rsidR="00000000" w:rsidRPr="00000000">
        <w:rPr>
          <w:vertAlign w:val="baseline"/>
          <w:rtl w:val="0"/>
        </w:rPr>
        <w:t xml:space="preserve">April 1st.  </w:t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vertAlign w:val="baseline"/>
          <w:rtl w:val="0"/>
        </w:rPr>
        <w:t xml:space="preserve">Per MSHOA Bylaws, a late payment w</w:t>
      </w:r>
      <w:r w:rsidDel="00000000" w:rsidR="00000000" w:rsidRPr="00000000">
        <w:rPr>
          <w:rtl w:val="0"/>
        </w:rPr>
        <w:t xml:space="preserve">ill</w:t>
      </w:r>
      <w:r w:rsidDel="00000000" w:rsidR="00000000" w:rsidRPr="00000000">
        <w:rPr>
          <w:vertAlign w:val="baseline"/>
          <w:rtl w:val="0"/>
        </w:rPr>
        <w:t xml:space="preserve"> incur a finance charge,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notification fee, and late fines of $25 for the second violation, $50 </w:t>
      </w:r>
      <w:r w:rsidDel="00000000" w:rsidR="00000000" w:rsidRPr="00000000">
        <w:rPr>
          <w:rtl w:val="0"/>
        </w:rPr>
        <w:t xml:space="preserve">for the third violation, and $100 for </w:t>
      </w:r>
      <w:r w:rsidDel="00000000" w:rsidR="00000000" w:rsidRPr="00000000">
        <w:rPr>
          <w:vertAlign w:val="baseline"/>
          <w:rtl w:val="0"/>
        </w:rPr>
        <w:t xml:space="preserve">each subsequent violation. </w:t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vertAlign w:val="baseline"/>
          <w:rtl w:val="0"/>
        </w:rPr>
        <w:t xml:space="preserve">These are assessed </w:t>
      </w:r>
      <w:r w:rsidDel="00000000" w:rsidR="00000000" w:rsidRPr="00000000">
        <w:rPr>
          <w:b w:val="1"/>
          <w:vertAlign w:val="baseline"/>
          <w:rtl w:val="0"/>
        </w:rPr>
        <w:t xml:space="preserve">each month</w:t>
      </w:r>
      <w:r w:rsidDel="00000000" w:rsidR="00000000" w:rsidRPr="00000000">
        <w:rPr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  <w:t xml:space="preserve">Note: The finance charge of 7% will be on the total unpaid balance of dues accumulated to date, not the fines.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vertAlign w:val="baseline"/>
          <w:rtl w:val="0"/>
        </w:rPr>
        <w:t xml:space="preserve">If paying quarterly, then payments of $</w:t>
      </w:r>
      <w:r w:rsidDel="00000000" w:rsidR="00000000" w:rsidRPr="00000000">
        <w:rPr>
          <w:rtl w:val="0"/>
        </w:rPr>
        <w:t xml:space="preserve">30</w:t>
      </w:r>
      <w:r w:rsidDel="00000000" w:rsidR="00000000" w:rsidRPr="00000000">
        <w:rPr>
          <w:vertAlign w:val="baseline"/>
          <w:rtl w:val="0"/>
        </w:rPr>
        <w:t xml:space="preserve">0.00 </w:t>
      </w:r>
      <w:r w:rsidDel="00000000" w:rsidR="00000000" w:rsidRPr="00000000">
        <w:rPr>
          <w:rtl w:val="0"/>
        </w:rPr>
        <w:t xml:space="preserve">are</w:t>
      </w:r>
      <w:r w:rsidDel="00000000" w:rsidR="00000000" w:rsidRPr="00000000">
        <w:rPr>
          <w:vertAlign w:val="baseline"/>
          <w:rtl w:val="0"/>
        </w:rPr>
        <w:t xml:space="preserve"> due January 1, April </w:t>
      </w:r>
      <w:r w:rsidDel="00000000" w:rsidR="00000000" w:rsidRPr="00000000">
        <w:rPr>
          <w:rtl w:val="0"/>
        </w:rPr>
        <w:t xml:space="preserve">1</w:t>
      </w:r>
      <w:r w:rsidDel="00000000" w:rsidR="00000000" w:rsidRPr="00000000">
        <w:rPr>
          <w:vertAlign w:val="baseline"/>
          <w:rtl w:val="0"/>
        </w:rPr>
        <w:t xml:space="preserve">, July 1, and October 1. </w:t>
      </w:r>
    </w:p>
    <w:p w:rsidR="00000000" w:rsidDel="00000000" w:rsidP="00000000" w:rsidRDefault="00000000" w:rsidRPr="00000000" w14:paraId="0000000D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Late fees will begin incurring on April 1st for the first quarter.</w:t>
      </w:r>
    </w:p>
    <w:p w:rsidR="00000000" w:rsidDel="00000000" w:rsidP="00000000" w:rsidRDefault="00000000" w:rsidRPr="00000000" w14:paraId="0000000E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Sequential quarter fines will begin if not postmarked by April 1, July 1, and October 1.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vertAlign w:val="baseline"/>
          <w:rtl w:val="0"/>
        </w:rPr>
        <w:t xml:space="preserve">Per MSHOA Bylaws, a late payment w</w:t>
      </w:r>
      <w:r w:rsidDel="00000000" w:rsidR="00000000" w:rsidRPr="00000000">
        <w:rPr>
          <w:rtl w:val="0"/>
        </w:rPr>
        <w:t xml:space="preserve">ill</w:t>
      </w:r>
      <w:r w:rsidDel="00000000" w:rsidR="00000000" w:rsidRPr="00000000">
        <w:rPr>
          <w:vertAlign w:val="baseline"/>
          <w:rtl w:val="0"/>
        </w:rPr>
        <w:t xml:space="preserve"> incur a finance charge,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notification fee, and late fines of $25 for the second violation, $50 </w:t>
      </w:r>
      <w:r w:rsidDel="00000000" w:rsidR="00000000" w:rsidRPr="00000000">
        <w:rPr>
          <w:rtl w:val="0"/>
        </w:rPr>
        <w:t xml:space="preserve">for the third violation, and $100 for </w:t>
      </w:r>
      <w:r w:rsidDel="00000000" w:rsidR="00000000" w:rsidRPr="00000000">
        <w:rPr>
          <w:vertAlign w:val="baseline"/>
          <w:rtl w:val="0"/>
        </w:rPr>
        <w:t xml:space="preserve">each subsequent violation. </w:t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vertAlign w:val="baseline"/>
          <w:rtl w:val="0"/>
        </w:rPr>
        <w:t xml:space="preserve">These are assessed </w:t>
      </w:r>
      <w:r w:rsidDel="00000000" w:rsidR="00000000" w:rsidRPr="00000000">
        <w:rPr>
          <w:b w:val="1"/>
          <w:vertAlign w:val="baseline"/>
          <w:rtl w:val="0"/>
        </w:rPr>
        <w:t xml:space="preserve">each month</w:t>
      </w:r>
      <w:r w:rsidDel="00000000" w:rsidR="00000000" w:rsidRPr="00000000">
        <w:rPr>
          <w:vertAlign w:val="baseline"/>
          <w:rtl w:val="0"/>
        </w:rPr>
        <w:t xml:space="preserve">. Note:</w:t>
      </w:r>
      <w:r w:rsidDel="00000000" w:rsidR="00000000" w:rsidRPr="00000000">
        <w:rPr>
          <w:rtl w:val="0"/>
        </w:rPr>
        <w:t xml:space="preserve"> T</w:t>
      </w:r>
      <w:r w:rsidDel="00000000" w:rsidR="00000000" w:rsidRPr="00000000">
        <w:rPr>
          <w:vertAlign w:val="baseline"/>
          <w:rtl w:val="0"/>
        </w:rPr>
        <w:t xml:space="preserve">he 7% finance charge w</w:t>
      </w:r>
      <w:r w:rsidDel="00000000" w:rsidR="00000000" w:rsidRPr="00000000">
        <w:rPr>
          <w:rtl w:val="0"/>
        </w:rPr>
        <w:t xml:space="preserve">ill</w:t>
      </w:r>
      <w:r w:rsidDel="00000000" w:rsidR="00000000" w:rsidRPr="00000000">
        <w:rPr>
          <w:vertAlign w:val="baseline"/>
          <w:rtl w:val="0"/>
        </w:rPr>
        <w:t xml:space="preserve"> be on the total unpaid balance of quarterly dues accumulated to date, not the fines. </w:t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line="360" w:lineRule="auto"/>
        <w:ind w:left="1440" w:hanging="360"/>
        <w:rPr>
          <w:b w:val="1"/>
          <w:i w:val="1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It will be up to the homeowner to remember to pay their quarterly fee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amount when due as no quarterly invoices will be mailed out.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vertAlign w:val="baseline"/>
          <w:rtl w:val="0"/>
        </w:rPr>
        <w:t xml:space="preserve">If you have a dock lot fee, this amount is due on January 1</w:t>
      </w:r>
      <w:r w:rsidDel="00000000" w:rsidR="00000000" w:rsidRPr="00000000">
        <w:rPr>
          <w:vertAlign w:val="superscript"/>
          <w:rtl w:val="0"/>
        </w:rPr>
        <w:t xml:space="preserve">st.</w:t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Late fees will begin incurring April 1st.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Per MSHOA Bylaws, a late payment will incur a finance charge, a notification fee, and late fines of $25 for the second violation, $50 for the third violation, and $100 for each subsequent violation. </w:t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These are assessed </w:t>
      </w:r>
      <w:r w:rsidDel="00000000" w:rsidR="00000000" w:rsidRPr="00000000">
        <w:rPr>
          <w:b w:val="1"/>
          <w:rtl w:val="0"/>
        </w:rPr>
        <w:t xml:space="preserve">each month</w:t>
      </w:r>
      <w:r w:rsidDel="00000000" w:rsidR="00000000" w:rsidRPr="00000000">
        <w:rPr>
          <w:rtl w:val="0"/>
        </w:rPr>
        <w:t xml:space="preserve">. Note: The finance charge will be on the total unpaid balance of dock lot dues accumulated to date, not the fines. 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line="36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Notice of Delinquency &amp; Right to Hearing:</w:t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You will receive monthly statements when payment is delinquent showing balance with interest and accumulation of fines. </w:t>
      </w:r>
    </w:p>
    <w:p w:rsidR="00000000" w:rsidDel="00000000" w:rsidP="00000000" w:rsidRDefault="00000000" w:rsidRPr="00000000" w14:paraId="00000018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With these notices, you have the right to a hearing before the Board of Directors to offer evidence in defense of the alleged violation, please reach out as soon as possible via </w:t>
      </w:r>
      <w:r w:rsidDel="00000000" w:rsidR="00000000" w:rsidRPr="00000000">
        <w:rPr>
          <w:color w:val="1155cc"/>
          <w:rtl w:val="0"/>
        </w:rPr>
        <w:t xml:space="preserve">Info@MoonShadowsHOA.org</w:t>
      </w:r>
      <w:r w:rsidDel="00000000" w:rsidR="00000000" w:rsidRPr="00000000">
        <w:rPr>
          <w:rtl w:val="0"/>
        </w:rPr>
        <w:t xml:space="preserve"> or call 734.681.3049. As a reminder, a lack of executing your rights does not relinquish your responsibility of MSHOA rules and regulations. </w:t>
      </w:r>
    </w:p>
    <w:p w:rsidR="00000000" w:rsidDel="00000000" w:rsidP="00000000" w:rsidRDefault="00000000" w:rsidRPr="00000000" w14:paraId="00000019">
      <w:pPr>
        <w:widowControl w:val="0"/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If the Board has not received a response from you for a discussion of your plan to remedy and satisfy the account after 7 days, the fines will be imposed. </w:t>
      </w:r>
    </w:p>
    <w:p w:rsidR="00000000" w:rsidDel="00000000" w:rsidP="00000000" w:rsidRDefault="00000000" w:rsidRPr="00000000" w14:paraId="0000001A">
      <w:pPr>
        <w:widowControl w:val="0"/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360" w:lineRule="auto"/>
        <w:ind w:left="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Moon Shadows Homeowners Association (MSHOA) appreciates everyone paying on time as the money is needed to pay association bills. If you have any questions, please call the MSHOA hotline @ (734) 681-3049 or email info@moonshadowshoa.org.  </w:t>
      </w:r>
    </w:p>
    <w:p w:rsidR="00000000" w:rsidDel="00000000" w:rsidP="00000000" w:rsidRDefault="00000000" w:rsidRPr="00000000" w14:paraId="0000001C">
      <w:pPr>
        <w:widowControl w:val="0"/>
        <w:spacing w:line="360" w:lineRule="auto"/>
        <w:rPr>
          <w:b w:val="1"/>
          <w:i w:val="1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Moon Shadows Board of Directors</w:t>
      </w:r>
    </w:p>
    <w:sectPr>
      <w:headerReference r:id="rId6" w:type="default"/>
      <w:footerReference r:id="rId7" w:type="default"/>
      <w:pgSz w:h="15840" w:w="12240" w:orient="portrait"/>
      <w:pgMar w:bottom="2361.0000610351562" w:top="1440" w:left="1804.8200988769531" w:right="1762.600097656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  <w:t xml:space="preserve">2025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rPr/>
    </w:pPr>
    <w:r w:rsidDel="00000000" w:rsidR="00000000" w:rsidRPr="00000000">
      <w:rPr/>
      <w:drawing>
        <wp:inline distB="19050" distT="19050" distL="19050" distR="19050">
          <wp:extent cx="5484749" cy="88836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484749" cy="888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